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12" w:rsidRPr="00186212" w:rsidRDefault="00186212" w:rsidP="00186212">
      <w:pPr>
        <w:spacing w:line="240" w:lineRule="auto"/>
        <w:jc w:val="left"/>
        <w:rPr>
          <w:rFonts w:ascii="Arial" w:eastAsia="Times New Roman" w:hAnsi="Arial" w:cs="Arial"/>
          <w:b/>
          <w:sz w:val="20"/>
          <w:szCs w:val="20"/>
        </w:rPr>
      </w:pPr>
      <w:r w:rsidRPr="007D22BC">
        <w:rPr>
          <w:rFonts w:ascii="Arial" w:eastAsia="Times New Roman" w:hAnsi="Arial" w:cs="Arial"/>
          <w:b/>
          <w:sz w:val="20"/>
          <w:szCs w:val="20"/>
        </w:rPr>
        <w:t>Citizens’ Charters</w:t>
      </w:r>
      <w:r w:rsidRPr="00186212">
        <w:rPr>
          <w:rFonts w:ascii="Arial" w:eastAsia="Times New Roman" w:hAnsi="Arial" w:cs="Arial"/>
          <w:b/>
          <w:sz w:val="20"/>
          <w:szCs w:val="20"/>
        </w:rPr>
        <w:t xml:space="preserve"> – </w:t>
      </w:r>
      <w:r w:rsidRPr="007D22BC">
        <w:rPr>
          <w:rFonts w:ascii="Arial" w:eastAsia="Times New Roman" w:hAnsi="Arial" w:cs="Arial"/>
          <w:b/>
          <w:sz w:val="20"/>
          <w:szCs w:val="20"/>
        </w:rPr>
        <w:t>publishing of data on services provided by authority organs</w:t>
      </w:r>
      <w:r w:rsidRPr="00186212">
        <w:rPr>
          <w:rFonts w:ascii="Arial" w:eastAsia="Times New Roman" w:hAnsi="Arial" w:cs="Arial"/>
          <w:b/>
          <w:sz w:val="20"/>
          <w:szCs w:val="20"/>
        </w:rPr>
        <w:t xml:space="preserve"> </w:t>
      </w:r>
    </w:p>
    <w:p w:rsidR="00186212" w:rsidRPr="00186212" w:rsidRDefault="00186212" w:rsidP="00186212">
      <w:pPr>
        <w:spacing w:line="240" w:lineRule="auto"/>
        <w:jc w:val="left"/>
        <w:rPr>
          <w:rFonts w:ascii="Arial" w:eastAsia="Times New Roman" w:hAnsi="Arial" w:cs="Arial"/>
          <w:sz w:val="20"/>
          <w:szCs w:val="20"/>
        </w:rPr>
      </w:pPr>
    </w:p>
    <w:p w:rsidR="00186212" w:rsidRDefault="00186212" w:rsidP="00186212">
      <w:pPr>
        <w:spacing w:line="240" w:lineRule="auto"/>
        <w:jc w:val="left"/>
        <w:rPr>
          <w:rFonts w:ascii="Arial" w:eastAsia="Times New Roman" w:hAnsi="Arial" w:cs="Arial"/>
          <w:sz w:val="20"/>
          <w:szCs w:val="20"/>
        </w:rPr>
      </w:pPr>
      <w:r w:rsidRPr="00541D53">
        <w:rPr>
          <w:rFonts w:ascii="Arial" w:eastAsia="Times New Roman" w:hAnsi="Arial" w:cs="Arial"/>
          <w:sz w:val="20"/>
          <w:szCs w:val="20"/>
        </w:rPr>
        <w:t>As part of this project</w:t>
      </w:r>
      <w:r w:rsidRPr="00186212">
        <w:rPr>
          <w:rFonts w:ascii="Arial" w:eastAsia="Times New Roman" w:hAnsi="Arial" w:cs="Arial"/>
          <w:sz w:val="20"/>
          <w:szCs w:val="20"/>
        </w:rPr>
        <w:t xml:space="preserve"> Transparen</w:t>
      </w:r>
      <w:r w:rsidRPr="00541D53">
        <w:rPr>
          <w:rFonts w:ascii="Arial" w:eastAsia="Times New Roman" w:hAnsi="Arial" w:cs="Arial"/>
          <w:sz w:val="20"/>
          <w:szCs w:val="20"/>
        </w:rPr>
        <w:t>cy</w:t>
      </w:r>
      <w:r w:rsidRPr="00186212">
        <w:rPr>
          <w:rFonts w:ascii="Arial" w:eastAsia="Times New Roman" w:hAnsi="Arial" w:cs="Arial"/>
          <w:sz w:val="20"/>
          <w:szCs w:val="20"/>
        </w:rPr>
        <w:t xml:space="preserve"> – S</w:t>
      </w:r>
      <w:r w:rsidRPr="00541D53">
        <w:rPr>
          <w:rFonts w:ascii="Arial" w:eastAsia="Times New Roman" w:hAnsi="Arial" w:cs="Arial"/>
          <w:sz w:val="20"/>
          <w:szCs w:val="20"/>
        </w:rPr>
        <w:t>e</w:t>
      </w:r>
      <w:r w:rsidRPr="00186212">
        <w:rPr>
          <w:rFonts w:ascii="Arial" w:eastAsia="Times New Roman" w:hAnsi="Arial" w:cs="Arial"/>
          <w:sz w:val="20"/>
          <w:szCs w:val="20"/>
        </w:rPr>
        <w:t xml:space="preserve">rbia </w:t>
      </w:r>
      <w:r w:rsidRPr="00541D53">
        <w:rPr>
          <w:rFonts w:ascii="Arial" w:eastAsia="Times New Roman" w:hAnsi="Arial" w:cs="Arial"/>
          <w:sz w:val="20"/>
          <w:szCs w:val="20"/>
        </w:rPr>
        <w:t>examines international experiences in the field of publishing data on providing services of authority organs</w:t>
      </w:r>
      <w:r w:rsidRPr="00186212">
        <w:rPr>
          <w:rFonts w:ascii="Arial" w:eastAsia="Times New Roman" w:hAnsi="Arial" w:cs="Arial"/>
          <w:sz w:val="20"/>
          <w:szCs w:val="20"/>
        </w:rPr>
        <w:t xml:space="preserve">, </w:t>
      </w:r>
      <w:r w:rsidRPr="00541D53">
        <w:rPr>
          <w:rFonts w:ascii="Arial" w:eastAsia="Times New Roman" w:hAnsi="Arial" w:cs="Arial"/>
          <w:sz w:val="20"/>
          <w:szCs w:val="20"/>
        </w:rPr>
        <w:t>as a means for curbing corruption</w:t>
      </w:r>
      <w:r w:rsidRPr="00186212">
        <w:rPr>
          <w:rFonts w:ascii="Arial" w:eastAsia="Times New Roman" w:hAnsi="Arial" w:cs="Arial"/>
          <w:sz w:val="20"/>
          <w:szCs w:val="20"/>
        </w:rPr>
        <w:t xml:space="preserve">, </w:t>
      </w:r>
      <w:r w:rsidRPr="00541D53">
        <w:rPr>
          <w:rFonts w:ascii="Arial" w:eastAsia="Times New Roman" w:hAnsi="Arial" w:cs="Arial"/>
          <w:sz w:val="20"/>
          <w:szCs w:val="20"/>
        </w:rPr>
        <w:t xml:space="preserve">especially having in mind experiences </w:t>
      </w:r>
      <w:r w:rsidR="00CE6FFC" w:rsidRPr="00541D53">
        <w:rPr>
          <w:rFonts w:ascii="Arial" w:eastAsia="Times New Roman" w:hAnsi="Arial" w:cs="Arial"/>
          <w:sz w:val="20"/>
          <w:szCs w:val="20"/>
        </w:rPr>
        <w:t xml:space="preserve">of Great Britain and of other countries in implementation of </w:t>
      </w:r>
      <w:r w:rsidRPr="00186212">
        <w:rPr>
          <w:rFonts w:ascii="Arial" w:eastAsia="Times New Roman" w:hAnsi="Arial" w:cs="Arial"/>
          <w:sz w:val="20"/>
          <w:szCs w:val="20"/>
        </w:rPr>
        <w:t xml:space="preserve">Citizens Charters </w:t>
      </w:r>
      <w:r w:rsidR="00CE6FFC" w:rsidRPr="00541D53">
        <w:rPr>
          <w:rFonts w:ascii="Arial" w:eastAsia="Times New Roman" w:hAnsi="Arial" w:cs="Arial"/>
          <w:sz w:val="20"/>
          <w:szCs w:val="20"/>
        </w:rPr>
        <w:t>approach</w:t>
      </w:r>
      <w:r w:rsidRPr="00186212">
        <w:rPr>
          <w:rFonts w:ascii="Arial" w:eastAsia="Times New Roman" w:hAnsi="Arial" w:cs="Arial"/>
          <w:sz w:val="20"/>
          <w:szCs w:val="20"/>
        </w:rPr>
        <w:t xml:space="preserve">, </w:t>
      </w:r>
      <w:r w:rsidR="00CE6FFC" w:rsidRPr="00541D53">
        <w:rPr>
          <w:rFonts w:ascii="Arial" w:eastAsia="Times New Roman" w:hAnsi="Arial" w:cs="Arial"/>
          <w:sz w:val="20"/>
          <w:szCs w:val="20"/>
        </w:rPr>
        <w:t>that begun in nineties in previous century</w:t>
      </w:r>
      <w:r w:rsidRPr="00186212">
        <w:rPr>
          <w:rFonts w:ascii="Arial" w:eastAsia="Times New Roman" w:hAnsi="Arial" w:cs="Arial"/>
          <w:sz w:val="20"/>
          <w:szCs w:val="20"/>
        </w:rPr>
        <w:t xml:space="preserve">. </w:t>
      </w:r>
      <w:r w:rsidR="00CE6FFC" w:rsidRPr="00541D53">
        <w:rPr>
          <w:rFonts w:ascii="Arial" w:eastAsia="Times New Roman" w:hAnsi="Arial" w:cs="Arial"/>
          <w:sz w:val="20"/>
          <w:szCs w:val="20"/>
        </w:rPr>
        <w:t>Besides that</w:t>
      </w:r>
      <w:r w:rsidRPr="00186212">
        <w:rPr>
          <w:rFonts w:ascii="Arial" w:eastAsia="Times New Roman" w:hAnsi="Arial" w:cs="Arial"/>
          <w:sz w:val="20"/>
          <w:szCs w:val="20"/>
        </w:rPr>
        <w:t xml:space="preserve">, </w:t>
      </w:r>
      <w:r w:rsidR="00CE6FFC" w:rsidRPr="00541D53">
        <w:rPr>
          <w:rFonts w:ascii="Arial" w:eastAsia="Times New Roman" w:hAnsi="Arial" w:cs="Arial"/>
          <w:sz w:val="20"/>
          <w:szCs w:val="20"/>
        </w:rPr>
        <w:t>we dedicate special attention to domestic legal framework for providing services and publishing of data on them and in this we concentrate to Guidelines for creating and publishing of Information Booklets of state organs adopted by Commissioner for Information of Public Importance on the basis of Law on Free Access to Information of Public Importance</w:t>
      </w:r>
      <w:r w:rsidRPr="00186212">
        <w:rPr>
          <w:rFonts w:ascii="Arial" w:eastAsia="Times New Roman" w:hAnsi="Arial" w:cs="Arial"/>
          <w:sz w:val="20"/>
          <w:szCs w:val="20"/>
        </w:rPr>
        <w:t xml:space="preserve">. </w:t>
      </w:r>
      <w:r w:rsidR="00541D53">
        <w:rPr>
          <w:rFonts w:ascii="Arial" w:eastAsia="Times New Roman" w:hAnsi="Arial" w:cs="Arial"/>
          <w:sz w:val="20"/>
          <w:szCs w:val="20"/>
        </w:rPr>
        <w:t>The</w:t>
      </w:r>
      <w:r w:rsidR="00CE6FFC" w:rsidRPr="00541D53">
        <w:rPr>
          <w:rFonts w:ascii="Arial" w:eastAsia="Times New Roman" w:hAnsi="Arial" w:cs="Arial"/>
          <w:sz w:val="20"/>
          <w:szCs w:val="20"/>
        </w:rPr>
        <w:t>s</w:t>
      </w:r>
      <w:r w:rsidR="00541D53">
        <w:rPr>
          <w:rFonts w:ascii="Arial" w:eastAsia="Times New Roman" w:hAnsi="Arial" w:cs="Arial"/>
          <w:sz w:val="20"/>
          <w:szCs w:val="20"/>
        </w:rPr>
        <w:t>e</w:t>
      </w:r>
      <w:r w:rsidR="00CE6FFC" w:rsidRPr="00541D53">
        <w:rPr>
          <w:rFonts w:ascii="Arial" w:eastAsia="Times New Roman" w:hAnsi="Arial" w:cs="Arial"/>
          <w:sz w:val="20"/>
          <w:szCs w:val="20"/>
        </w:rPr>
        <w:t xml:space="preserve"> Guidelines</w:t>
      </w:r>
      <w:r w:rsidRPr="00186212">
        <w:rPr>
          <w:rFonts w:ascii="Arial" w:eastAsia="Times New Roman" w:hAnsi="Arial" w:cs="Arial"/>
          <w:sz w:val="20"/>
          <w:szCs w:val="20"/>
        </w:rPr>
        <w:t xml:space="preserve">, </w:t>
      </w:r>
      <w:r w:rsidR="00CE6FFC" w:rsidRPr="00541D53">
        <w:rPr>
          <w:rFonts w:ascii="Arial" w:eastAsia="Times New Roman" w:hAnsi="Arial" w:cs="Arial"/>
          <w:sz w:val="20"/>
          <w:szCs w:val="20"/>
        </w:rPr>
        <w:t>among other things</w:t>
      </w:r>
      <w:r w:rsidRPr="00186212">
        <w:rPr>
          <w:rFonts w:ascii="Arial" w:eastAsia="Times New Roman" w:hAnsi="Arial" w:cs="Arial"/>
          <w:sz w:val="20"/>
          <w:szCs w:val="20"/>
        </w:rPr>
        <w:t xml:space="preserve">, </w:t>
      </w:r>
      <w:r w:rsidR="00CE6FFC" w:rsidRPr="00541D53">
        <w:rPr>
          <w:rFonts w:ascii="Arial" w:eastAsia="Times New Roman" w:hAnsi="Arial" w:cs="Arial"/>
          <w:sz w:val="20"/>
          <w:szCs w:val="20"/>
        </w:rPr>
        <w:t>o</w:t>
      </w:r>
      <w:r w:rsidR="00541D53">
        <w:rPr>
          <w:rFonts w:ascii="Arial" w:eastAsia="Times New Roman" w:hAnsi="Arial" w:cs="Arial"/>
          <w:sz w:val="20"/>
          <w:szCs w:val="20"/>
        </w:rPr>
        <w:t>rganize</w:t>
      </w:r>
      <w:r w:rsidR="00CE6FFC" w:rsidRPr="00541D53">
        <w:rPr>
          <w:rFonts w:ascii="Arial" w:eastAsia="Times New Roman" w:hAnsi="Arial" w:cs="Arial"/>
          <w:sz w:val="20"/>
          <w:szCs w:val="20"/>
        </w:rPr>
        <w:t xml:space="preserve"> method </w:t>
      </w:r>
      <w:r w:rsidR="00541D53">
        <w:rPr>
          <w:rFonts w:ascii="Arial" w:eastAsia="Times New Roman" w:hAnsi="Arial" w:cs="Arial"/>
          <w:sz w:val="20"/>
          <w:szCs w:val="20"/>
        </w:rPr>
        <w:t>that authority organs should</w:t>
      </w:r>
      <w:r w:rsidR="00541D53" w:rsidRPr="00541D53">
        <w:rPr>
          <w:rFonts w:ascii="Arial" w:eastAsia="Times New Roman" w:hAnsi="Arial" w:cs="Arial"/>
          <w:sz w:val="20"/>
          <w:szCs w:val="20"/>
        </w:rPr>
        <w:t xml:space="preserve"> use </w:t>
      </w:r>
      <w:r w:rsidR="00CE6FFC" w:rsidRPr="00541D53">
        <w:rPr>
          <w:rFonts w:ascii="Arial" w:eastAsia="Times New Roman" w:hAnsi="Arial" w:cs="Arial"/>
          <w:sz w:val="20"/>
          <w:szCs w:val="20"/>
        </w:rPr>
        <w:t xml:space="preserve">for presenting </w:t>
      </w:r>
      <w:r w:rsidR="00541D53" w:rsidRPr="00541D53">
        <w:rPr>
          <w:rFonts w:ascii="Arial" w:eastAsia="Times New Roman" w:hAnsi="Arial" w:cs="Arial"/>
          <w:sz w:val="20"/>
          <w:szCs w:val="20"/>
        </w:rPr>
        <w:t>services they provide to the citizens and business before anyone asks for those information</w:t>
      </w:r>
      <w:r w:rsidRPr="00186212">
        <w:rPr>
          <w:rFonts w:ascii="Arial" w:eastAsia="Times New Roman" w:hAnsi="Arial" w:cs="Arial"/>
          <w:sz w:val="20"/>
          <w:szCs w:val="20"/>
        </w:rPr>
        <w:t xml:space="preserve">. </w:t>
      </w:r>
      <w:r w:rsidR="00541D53" w:rsidRPr="00541D53">
        <w:rPr>
          <w:rFonts w:ascii="Arial" w:eastAsia="Times New Roman" w:hAnsi="Arial" w:cs="Arial"/>
          <w:sz w:val="20"/>
          <w:szCs w:val="20"/>
        </w:rPr>
        <w:t>As part of this project</w:t>
      </w:r>
      <w:r w:rsidRPr="00186212">
        <w:rPr>
          <w:rFonts w:ascii="Arial" w:eastAsia="Times New Roman" w:hAnsi="Arial" w:cs="Arial"/>
          <w:sz w:val="20"/>
          <w:szCs w:val="20"/>
        </w:rPr>
        <w:t xml:space="preserve">, </w:t>
      </w:r>
      <w:r w:rsidR="00541D53" w:rsidRPr="00541D53">
        <w:rPr>
          <w:rFonts w:ascii="Arial" w:eastAsia="Times New Roman" w:hAnsi="Arial" w:cs="Arial"/>
          <w:sz w:val="20"/>
          <w:szCs w:val="20"/>
        </w:rPr>
        <w:t xml:space="preserve">TS will </w:t>
      </w:r>
      <w:r w:rsidR="00541D53">
        <w:rPr>
          <w:rFonts w:ascii="Arial" w:eastAsia="Times New Roman" w:hAnsi="Arial" w:cs="Arial"/>
          <w:sz w:val="20"/>
          <w:szCs w:val="20"/>
        </w:rPr>
        <w:t>investigate</w:t>
      </w:r>
      <w:r w:rsidR="00541D53" w:rsidRPr="00541D53">
        <w:rPr>
          <w:rFonts w:ascii="Arial" w:eastAsia="Times New Roman" w:hAnsi="Arial" w:cs="Arial"/>
          <w:sz w:val="20"/>
          <w:szCs w:val="20"/>
        </w:rPr>
        <w:t xml:space="preserve"> respecting of rules on publishing of Information Booklets on a sample. Also</w:t>
      </w:r>
      <w:r w:rsidRPr="00186212">
        <w:rPr>
          <w:rFonts w:ascii="Arial" w:eastAsia="Times New Roman" w:hAnsi="Arial" w:cs="Arial"/>
          <w:sz w:val="20"/>
          <w:szCs w:val="20"/>
        </w:rPr>
        <w:t xml:space="preserve">, </w:t>
      </w:r>
      <w:r w:rsidR="00541D53" w:rsidRPr="00541D53">
        <w:rPr>
          <w:rFonts w:ascii="Arial" w:eastAsia="Times New Roman" w:hAnsi="Arial" w:cs="Arial"/>
          <w:sz w:val="20"/>
          <w:szCs w:val="20"/>
        </w:rPr>
        <w:t>having in mind wider significance of this subject to fight against corruption</w:t>
      </w:r>
      <w:r w:rsidRPr="00186212">
        <w:rPr>
          <w:rFonts w:ascii="Arial" w:eastAsia="Times New Roman" w:hAnsi="Arial" w:cs="Arial"/>
          <w:sz w:val="20"/>
          <w:szCs w:val="20"/>
        </w:rPr>
        <w:t xml:space="preserve">, </w:t>
      </w:r>
      <w:r w:rsidR="00541D53" w:rsidRPr="00541D53">
        <w:rPr>
          <w:rFonts w:ascii="Arial" w:eastAsia="Times New Roman" w:hAnsi="Arial" w:cs="Arial"/>
          <w:sz w:val="20"/>
          <w:szCs w:val="20"/>
        </w:rPr>
        <w:t>we will dedicate special attention to this matter in strategic anticorruption documents of Serbia</w:t>
      </w:r>
      <w:r w:rsidRPr="00186212">
        <w:rPr>
          <w:rFonts w:ascii="Arial" w:eastAsia="Times New Roman" w:hAnsi="Arial" w:cs="Arial"/>
          <w:sz w:val="20"/>
          <w:szCs w:val="20"/>
        </w:rPr>
        <w:t xml:space="preserve"> (</w:t>
      </w:r>
      <w:r w:rsidR="00541D53" w:rsidRPr="00541D53">
        <w:rPr>
          <w:rFonts w:ascii="Arial" w:eastAsia="Times New Roman" w:hAnsi="Arial" w:cs="Arial"/>
          <w:sz w:val="20"/>
          <w:szCs w:val="20"/>
        </w:rPr>
        <w:t>National Anticorruption Strategy and Action Plan for its implementation</w:t>
      </w:r>
      <w:r w:rsidRPr="00186212">
        <w:rPr>
          <w:rFonts w:ascii="Arial" w:eastAsia="Times New Roman" w:hAnsi="Arial" w:cs="Arial"/>
          <w:sz w:val="20"/>
          <w:szCs w:val="20"/>
        </w:rPr>
        <w:t xml:space="preserve">). </w:t>
      </w:r>
      <w:r w:rsidR="00541D53" w:rsidRPr="00541D53">
        <w:rPr>
          <w:rFonts w:ascii="Arial" w:eastAsia="Times New Roman" w:hAnsi="Arial" w:cs="Arial"/>
          <w:sz w:val="20"/>
          <w:szCs w:val="20"/>
        </w:rPr>
        <w:t>Press conferences and round tables will be organized as part of this project</w:t>
      </w:r>
      <w:r w:rsidRPr="00186212">
        <w:rPr>
          <w:rFonts w:ascii="Arial" w:eastAsia="Times New Roman" w:hAnsi="Arial" w:cs="Arial"/>
          <w:sz w:val="20"/>
          <w:szCs w:val="20"/>
        </w:rPr>
        <w:t xml:space="preserve">, </w:t>
      </w:r>
      <w:r w:rsidR="00541D53" w:rsidRPr="00541D53">
        <w:rPr>
          <w:rFonts w:ascii="Arial" w:eastAsia="Times New Roman" w:hAnsi="Arial" w:cs="Arial"/>
          <w:sz w:val="20"/>
          <w:szCs w:val="20"/>
        </w:rPr>
        <w:t>and creating of electronic publication with most interesting findings is envisaged</w:t>
      </w:r>
      <w:r w:rsidRPr="00186212">
        <w:rPr>
          <w:rFonts w:ascii="Arial" w:eastAsia="Times New Roman" w:hAnsi="Arial" w:cs="Arial"/>
          <w:sz w:val="20"/>
          <w:szCs w:val="20"/>
        </w:rPr>
        <w:t xml:space="preserve">. </w:t>
      </w:r>
    </w:p>
    <w:p w:rsidR="001C0509" w:rsidRDefault="001C0509" w:rsidP="00186212">
      <w:pPr>
        <w:spacing w:line="240" w:lineRule="auto"/>
        <w:jc w:val="left"/>
        <w:rPr>
          <w:rFonts w:ascii="Arial" w:eastAsia="Times New Roman" w:hAnsi="Arial" w:cs="Arial"/>
          <w:sz w:val="20"/>
          <w:szCs w:val="20"/>
        </w:rPr>
      </w:pPr>
    </w:p>
    <w:p w:rsidR="001C0509" w:rsidRDefault="001C0509" w:rsidP="00186212">
      <w:pPr>
        <w:spacing w:line="240" w:lineRule="auto"/>
        <w:jc w:val="left"/>
      </w:pPr>
      <w:r>
        <w:t xml:space="preserve">National Anticorruption Strategy </w:t>
      </w:r>
    </w:p>
    <w:p w:rsidR="001C0509" w:rsidRDefault="00426D6D" w:rsidP="00186212">
      <w:pPr>
        <w:spacing w:line="240" w:lineRule="auto"/>
        <w:jc w:val="left"/>
      </w:pPr>
      <w:hyperlink r:id="rId5" w:history="1">
        <w:r w:rsidR="001C0509">
          <w:rPr>
            <w:rStyle w:val="Hyperlink"/>
          </w:rPr>
          <w:t>http://www.mpravde.gov.rs/en/articles/fight-against-corruption/national-strategy-against-corruption/</w:t>
        </w:r>
      </w:hyperlink>
    </w:p>
    <w:p w:rsidR="00606259" w:rsidRDefault="00606259" w:rsidP="00186212">
      <w:pPr>
        <w:spacing w:line="240" w:lineRule="auto"/>
        <w:jc w:val="left"/>
      </w:pPr>
    </w:p>
    <w:p w:rsidR="00606259" w:rsidRDefault="00606259" w:rsidP="00186212">
      <w:pPr>
        <w:spacing w:line="240" w:lineRule="auto"/>
        <w:jc w:val="left"/>
        <w:rPr>
          <w:rFonts w:ascii="Arial" w:eastAsia="Times New Roman" w:hAnsi="Arial" w:cs="Arial"/>
          <w:sz w:val="20"/>
          <w:szCs w:val="20"/>
        </w:rPr>
      </w:pPr>
      <w:r w:rsidRPr="00606259">
        <w:rPr>
          <w:rFonts w:ascii="Arial" w:eastAsia="Times New Roman" w:hAnsi="Arial" w:cs="Arial"/>
          <w:sz w:val="20"/>
          <w:szCs w:val="20"/>
        </w:rPr>
        <w:t>Instruction for the creation and publication of the Information Booklet on Public Authority Work</w:t>
      </w:r>
      <w:r>
        <w:rPr>
          <w:rFonts w:ascii="Arial" w:eastAsia="Times New Roman" w:hAnsi="Arial" w:cs="Arial"/>
          <w:sz w:val="20"/>
          <w:szCs w:val="20"/>
        </w:rPr>
        <w:t xml:space="preserve"> (New)</w:t>
      </w:r>
    </w:p>
    <w:p w:rsidR="00606259" w:rsidRDefault="00426D6D" w:rsidP="00186212">
      <w:pPr>
        <w:spacing w:line="240" w:lineRule="auto"/>
        <w:jc w:val="left"/>
      </w:pPr>
      <w:hyperlink r:id="rId6" w:history="1">
        <w:r w:rsidR="00606259">
          <w:rPr>
            <w:rStyle w:val="Hyperlink"/>
          </w:rPr>
          <w:t>http://www.poverenik.org.rs/index.php/en/doc/bylaws-documents-/947-2010-09-22-09-11-08.pdf</w:t>
        </w:r>
      </w:hyperlink>
    </w:p>
    <w:p w:rsidR="00EA1E3D" w:rsidRDefault="00EA1E3D" w:rsidP="00186212">
      <w:pPr>
        <w:spacing w:line="240" w:lineRule="auto"/>
        <w:jc w:val="left"/>
      </w:pPr>
    </w:p>
    <w:p w:rsidR="00EA1E3D" w:rsidRPr="00EA1E3D" w:rsidRDefault="00EA1E3D" w:rsidP="00EA1E3D">
      <w:pPr>
        <w:pStyle w:val="tekst"/>
        <w:spacing w:before="115" w:beforeAutospacing="0" w:after="115" w:afterAutospacing="0" w:line="184" w:lineRule="atLeast"/>
        <w:jc w:val="center"/>
        <w:rPr>
          <w:rFonts w:asciiTheme="minorHAnsi" w:hAnsiTheme="minorHAnsi" w:cs="Tahoma"/>
          <w:sz w:val="22"/>
          <w:szCs w:val="22"/>
        </w:rPr>
      </w:pPr>
      <w:r w:rsidRPr="00EA1E3D">
        <w:rPr>
          <w:rFonts w:asciiTheme="minorHAnsi" w:hAnsiTheme="minorHAnsi" w:cs="Tahoma"/>
          <w:sz w:val="22"/>
          <w:szCs w:val="22"/>
        </w:rPr>
        <w:t>Proje</w:t>
      </w:r>
      <w:r>
        <w:rPr>
          <w:rFonts w:asciiTheme="minorHAnsi" w:hAnsiTheme="minorHAnsi" w:cs="Tahoma"/>
          <w:sz w:val="22"/>
          <w:szCs w:val="22"/>
        </w:rPr>
        <w:t>ct is financed by</w:t>
      </w:r>
      <w:r w:rsidRPr="00EA1E3D">
        <w:rPr>
          <w:rFonts w:asciiTheme="minorHAnsi" w:hAnsiTheme="minorHAnsi" w:cs="Tahoma"/>
          <w:sz w:val="22"/>
          <w:szCs w:val="22"/>
        </w:rPr>
        <w:t xml:space="preserve"> Foreign and Commonwealth Office</w:t>
      </w:r>
    </w:p>
    <w:p w:rsidR="00EA1E3D" w:rsidRDefault="00EA1E3D" w:rsidP="00EA1E3D">
      <w:pPr>
        <w:pStyle w:val="tekst"/>
        <w:spacing w:before="115" w:beforeAutospacing="0" w:after="115" w:afterAutospacing="0" w:line="184" w:lineRule="atLeast"/>
        <w:jc w:val="center"/>
        <w:rPr>
          <w:rFonts w:ascii="Tahoma" w:hAnsi="Tahoma" w:cs="Tahoma"/>
          <w:color w:val="666666"/>
          <w:sz w:val="13"/>
          <w:szCs w:val="13"/>
        </w:rPr>
      </w:pPr>
      <w:r>
        <w:rPr>
          <w:noProof/>
        </w:rPr>
        <w:drawing>
          <wp:inline distT="0" distB="0" distL="0" distR="0">
            <wp:extent cx="1331595" cy="3811270"/>
            <wp:effectExtent l="19050" t="0" r="1905" b="0"/>
            <wp:docPr id="1" name="Picture 4" descr="Foreign &amp; Commonwealt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eign &amp; Commonwealth Office"/>
                    <pic:cNvPicPr>
                      <a:picLocks noChangeAspect="1" noChangeArrowheads="1"/>
                    </pic:cNvPicPr>
                  </pic:nvPicPr>
                  <pic:blipFill>
                    <a:blip r:embed="rId7"/>
                    <a:srcRect/>
                    <a:stretch>
                      <a:fillRect/>
                    </a:stretch>
                  </pic:blipFill>
                  <pic:spPr bwMode="auto">
                    <a:xfrm>
                      <a:off x="0" y="0"/>
                      <a:ext cx="1331595" cy="3811270"/>
                    </a:xfrm>
                    <a:prstGeom prst="rect">
                      <a:avLst/>
                    </a:prstGeom>
                    <a:noFill/>
                    <a:ln w="9525">
                      <a:noFill/>
                      <a:miter lim="800000"/>
                      <a:headEnd/>
                      <a:tailEnd/>
                    </a:ln>
                  </pic:spPr>
                </pic:pic>
              </a:graphicData>
            </a:graphic>
          </wp:inline>
        </w:drawing>
      </w:r>
    </w:p>
    <w:p w:rsidR="00EA1E3D" w:rsidRPr="00EA1E3D" w:rsidRDefault="00EA1E3D" w:rsidP="00EA1E3D">
      <w:pPr>
        <w:pStyle w:val="tekst"/>
        <w:spacing w:before="115" w:beforeAutospacing="0" w:after="115" w:afterAutospacing="0" w:line="184" w:lineRule="atLeast"/>
        <w:jc w:val="both"/>
        <w:rPr>
          <w:rFonts w:asciiTheme="minorHAnsi" w:hAnsiTheme="minorHAnsi" w:cs="Tahoma"/>
          <w:sz w:val="22"/>
          <w:szCs w:val="22"/>
        </w:rPr>
      </w:pPr>
      <w:r>
        <w:rPr>
          <w:rFonts w:asciiTheme="minorHAnsi" w:hAnsiTheme="minorHAnsi" w:cs="Tahoma"/>
          <w:sz w:val="22"/>
          <w:szCs w:val="22"/>
        </w:rPr>
        <w:t>Stated opinions belong to authors and do not necessary reflect donor’s stand points</w:t>
      </w:r>
      <w:r w:rsidRPr="00EA1E3D">
        <w:rPr>
          <w:rFonts w:asciiTheme="minorHAnsi" w:hAnsiTheme="minorHAnsi" w:cs="Tahoma"/>
          <w:sz w:val="22"/>
          <w:szCs w:val="22"/>
        </w:rPr>
        <w:t>.</w:t>
      </w:r>
    </w:p>
    <w:p w:rsidR="00EA1E3D" w:rsidRPr="00186212" w:rsidRDefault="00EA1E3D" w:rsidP="00186212">
      <w:pPr>
        <w:spacing w:line="240" w:lineRule="auto"/>
        <w:jc w:val="left"/>
        <w:rPr>
          <w:rFonts w:ascii="Arial" w:eastAsia="Times New Roman" w:hAnsi="Arial" w:cs="Arial"/>
          <w:sz w:val="20"/>
          <w:szCs w:val="20"/>
        </w:rPr>
      </w:pPr>
    </w:p>
    <w:p w:rsidR="00186212" w:rsidRDefault="00186212" w:rsidP="00186212">
      <w:pPr>
        <w:spacing w:line="240" w:lineRule="auto"/>
        <w:jc w:val="left"/>
        <w:rPr>
          <w:rFonts w:ascii="Arial" w:eastAsia="Times New Roman" w:hAnsi="Arial" w:cs="Arial"/>
          <w:sz w:val="20"/>
          <w:szCs w:val="20"/>
        </w:rPr>
      </w:pPr>
    </w:p>
    <w:p w:rsidR="001C0509" w:rsidRDefault="001C0509" w:rsidP="00186212">
      <w:pPr>
        <w:spacing w:line="240" w:lineRule="auto"/>
        <w:jc w:val="left"/>
        <w:rPr>
          <w:rFonts w:ascii="Arial" w:eastAsia="Times New Roman" w:hAnsi="Arial" w:cs="Arial"/>
          <w:sz w:val="20"/>
          <w:szCs w:val="20"/>
        </w:rPr>
      </w:pPr>
    </w:p>
    <w:p w:rsidR="001C0509" w:rsidRPr="001C0509" w:rsidRDefault="001C0509" w:rsidP="001C0509">
      <w:pPr>
        <w:spacing w:line="240" w:lineRule="auto"/>
        <w:jc w:val="left"/>
        <w:rPr>
          <w:rFonts w:ascii="Arial" w:eastAsia="Times New Roman" w:hAnsi="Arial" w:cs="Arial"/>
          <w:b/>
          <w:sz w:val="20"/>
          <w:szCs w:val="20"/>
          <w:lang w:val="sr-Latn-CS"/>
        </w:rPr>
      </w:pPr>
      <w:r w:rsidRPr="001C0509">
        <w:rPr>
          <w:rFonts w:ascii="Arial" w:eastAsia="Times New Roman" w:hAnsi="Arial" w:cs="Arial"/>
          <w:b/>
          <w:sz w:val="20"/>
          <w:szCs w:val="20"/>
          <w:lang w:val="sr-Latn-CS"/>
        </w:rPr>
        <w:t xml:space="preserve">Građanske povelje – objavljivanje podataka o uslugama koje pružaju organi vlasti </w:t>
      </w:r>
    </w:p>
    <w:p w:rsidR="001C0509" w:rsidRPr="001C0509" w:rsidRDefault="001C0509" w:rsidP="001C0509">
      <w:pPr>
        <w:spacing w:line="240" w:lineRule="auto"/>
        <w:jc w:val="left"/>
        <w:rPr>
          <w:rFonts w:ascii="Arial" w:eastAsia="Times New Roman" w:hAnsi="Arial" w:cs="Arial"/>
          <w:sz w:val="20"/>
          <w:szCs w:val="20"/>
          <w:lang w:val="sr-Latn-CS"/>
        </w:rPr>
      </w:pPr>
    </w:p>
    <w:p w:rsidR="001C0509" w:rsidRPr="001C0509" w:rsidRDefault="001C0509" w:rsidP="001C0509">
      <w:pPr>
        <w:spacing w:line="240" w:lineRule="auto"/>
        <w:jc w:val="left"/>
        <w:rPr>
          <w:rFonts w:ascii="Arial" w:eastAsia="Times New Roman" w:hAnsi="Arial" w:cs="Arial"/>
          <w:sz w:val="20"/>
          <w:szCs w:val="20"/>
          <w:lang w:val="sr-Latn-CS"/>
        </w:rPr>
      </w:pPr>
      <w:r w:rsidRPr="001C0509">
        <w:rPr>
          <w:rFonts w:ascii="Arial" w:eastAsia="Times New Roman" w:hAnsi="Arial" w:cs="Arial"/>
          <w:sz w:val="20"/>
          <w:szCs w:val="20"/>
          <w:lang w:val="sr-Latn-CS"/>
        </w:rPr>
        <w:t xml:space="preserve">U okviru ovog projekta Transparentnost – Srbija ispituje međunarodna iskustva na polju objavljivanja podataka o pružanju usluga organa vlasti, kao mere za prevenciju korupcije, posebno imajući u vidu iskustva Velike Britanije i drugih zemalja u implementaciji Citizens Charters pristupa, s kojim se započelo tokom devedesetih godina prošlog veka. Osim toga, posvećujemo naročitu pažnju domaćem pravnom okviru za pružanje usluga i objavljivanje podataka o njima i pri tom se koncentrišemo na Uputstvo za izradu i objavljivanje informatora o radu državnih organa koje na osnovu Zakona o slobodnom pristupu informacijama od javnog značaja donosi Poverenik za infomacije od javnog značaja i zaštitu podataka o ličnosti. Ovo uputstvo, između ostalog, uređuje i način na koji će organi vlasti prikazati usluge koje pružaju građanima i privredi i pre nego što im iko takve informacije zatraži. U okviru ovog projekta, na uzorku ćemo proveriti i poštovanje pravila o objavljivanju informatora o radu. Takođe, imajući u vidu širi značaj ove teme za borbu protiv korupcije, posvetićemo i pažnju tretmanu ovog pitanja u strateškim antikorupcijskim dokumentima Srbije (Nacionalna strategija za borbu protiv korupcije i Akcioni plan za njeno sprovođenje). U okviru projekta biće organizovane konferencije za štampu i okrugli stolovi, a predviđa se i izrada elektronske publikacije sa najzanimljivijim nalazima. </w:t>
      </w:r>
    </w:p>
    <w:p w:rsidR="001C0509" w:rsidRPr="001C0509" w:rsidRDefault="001C0509" w:rsidP="001C0509">
      <w:pPr>
        <w:spacing w:line="240" w:lineRule="auto"/>
        <w:jc w:val="left"/>
        <w:rPr>
          <w:rFonts w:ascii="Arial" w:eastAsia="Times New Roman" w:hAnsi="Arial" w:cs="Arial"/>
          <w:sz w:val="20"/>
          <w:szCs w:val="20"/>
          <w:lang w:val="sr-Latn-CS"/>
        </w:rPr>
      </w:pPr>
    </w:p>
    <w:p w:rsidR="001C0509" w:rsidRDefault="001C0509" w:rsidP="00186212">
      <w:pPr>
        <w:spacing w:line="240" w:lineRule="auto"/>
        <w:jc w:val="left"/>
      </w:pPr>
      <w:proofErr w:type="spellStart"/>
      <w:r>
        <w:t>Nacionalna</w:t>
      </w:r>
      <w:proofErr w:type="spellEnd"/>
      <w:r>
        <w:t xml:space="preserve"> </w:t>
      </w:r>
      <w:proofErr w:type="spellStart"/>
      <w:r>
        <w:t>strategija</w:t>
      </w:r>
      <w:proofErr w:type="spellEnd"/>
      <w:r>
        <w:t xml:space="preserve"> </w:t>
      </w:r>
      <w:proofErr w:type="spellStart"/>
      <w:r>
        <w:t>za</w:t>
      </w:r>
      <w:proofErr w:type="spellEnd"/>
      <w:r>
        <w:t xml:space="preserve"> </w:t>
      </w:r>
      <w:proofErr w:type="spellStart"/>
      <w:r>
        <w:t>borbu</w:t>
      </w:r>
      <w:proofErr w:type="spellEnd"/>
      <w:r>
        <w:t xml:space="preserve"> </w:t>
      </w:r>
      <w:proofErr w:type="spellStart"/>
      <w:r>
        <w:t>protiv</w:t>
      </w:r>
      <w:proofErr w:type="spellEnd"/>
      <w:r>
        <w:t xml:space="preserve"> </w:t>
      </w:r>
      <w:proofErr w:type="spellStart"/>
      <w:r>
        <w:t>korupcije</w:t>
      </w:r>
      <w:proofErr w:type="spellEnd"/>
      <w:r>
        <w:t xml:space="preserve"> </w:t>
      </w:r>
      <w:hyperlink r:id="rId8" w:history="1">
        <w:r>
          <w:rPr>
            <w:rStyle w:val="Hyperlink"/>
          </w:rPr>
          <w:t>http://www.acas.rs/images/stories/Nacionalna_strategija.pdf</w:t>
        </w:r>
      </w:hyperlink>
    </w:p>
    <w:p w:rsidR="001C0509" w:rsidRDefault="001C0509" w:rsidP="00186212">
      <w:pPr>
        <w:spacing w:line="240" w:lineRule="auto"/>
        <w:jc w:val="left"/>
      </w:pPr>
    </w:p>
    <w:p w:rsidR="001C0509" w:rsidRDefault="001C0509" w:rsidP="00186212">
      <w:pPr>
        <w:spacing w:line="240" w:lineRule="auto"/>
        <w:jc w:val="left"/>
      </w:pPr>
      <w:proofErr w:type="spellStart"/>
      <w:r>
        <w:t>Akcioni</w:t>
      </w:r>
      <w:proofErr w:type="spellEnd"/>
      <w:r>
        <w:t xml:space="preserve"> plan </w:t>
      </w:r>
      <w:proofErr w:type="spellStart"/>
      <w:r>
        <w:t>za</w:t>
      </w:r>
      <w:proofErr w:type="spellEnd"/>
      <w:r>
        <w:t xml:space="preserve"> </w:t>
      </w:r>
      <w:proofErr w:type="spellStart"/>
      <w:r>
        <w:t>primenu</w:t>
      </w:r>
      <w:proofErr w:type="spellEnd"/>
      <w:r>
        <w:t xml:space="preserve"> </w:t>
      </w:r>
      <w:proofErr w:type="spellStart"/>
      <w:r>
        <w:t>Nacionalne</w:t>
      </w:r>
      <w:proofErr w:type="spellEnd"/>
      <w:r>
        <w:t xml:space="preserve"> </w:t>
      </w:r>
      <w:proofErr w:type="spellStart"/>
      <w:r>
        <w:t>strategije</w:t>
      </w:r>
      <w:proofErr w:type="spellEnd"/>
      <w:r>
        <w:t xml:space="preserve"> </w:t>
      </w:r>
      <w:proofErr w:type="spellStart"/>
      <w:r>
        <w:t>za</w:t>
      </w:r>
      <w:proofErr w:type="spellEnd"/>
      <w:r>
        <w:t xml:space="preserve"> </w:t>
      </w:r>
      <w:proofErr w:type="spellStart"/>
      <w:r>
        <w:t>borbu</w:t>
      </w:r>
      <w:proofErr w:type="spellEnd"/>
      <w:r>
        <w:t xml:space="preserve"> </w:t>
      </w:r>
      <w:proofErr w:type="spellStart"/>
      <w:r>
        <w:t>protiv</w:t>
      </w:r>
      <w:proofErr w:type="spellEnd"/>
      <w:r>
        <w:t xml:space="preserve"> </w:t>
      </w:r>
      <w:proofErr w:type="spellStart"/>
      <w:r>
        <w:t>korupcije</w:t>
      </w:r>
      <w:proofErr w:type="spellEnd"/>
    </w:p>
    <w:p w:rsidR="001C0509" w:rsidRDefault="00426D6D" w:rsidP="00186212">
      <w:pPr>
        <w:spacing w:line="240" w:lineRule="auto"/>
        <w:jc w:val="left"/>
      </w:pPr>
      <w:hyperlink r:id="rId9" w:history="1">
        <w:r w:rsidR="001C0509">
          <w:rPr>
            <w:rStyle w:val="Hyperlink"/>
          </w:rPr>
          <w:t>http://www.acas.rs/sr_cir/zakoni-i-drugi-propisi/akcioni-plan.html</w:t>
        </w:r>
      </w:hyperlink>
    </w:p>
    <w:p w:rsidR="001C0509" w:rsidRDefault="001C0509" w:rsidP="00186212">
      <w:pPr>
        <w:spacing w:line="240" w:lineRule="auto"/>
        <w:jc w:val="left"/>
      </w:pPr>
    </w:p>
    <w:p w:rsidR="001C0509" w:rsidRDefault="001C0509" w:rsidP="001C0509">
      <w:pPr>
        <w:spacing w:line="240" w:lineRule="auto"/>
        <w:jc w:val="left"/>
      </w:pPr>
      <w:proofErr w:type="spellStart"/>
      <w:r>
        <w:t>Izve</w:t>
      </w:r>
      <w:proofErr w:type="spellEnd"/>
      <w:r>
        <w:rPr>
          <w:lang w:val="sr-Latn-CS"/>
        </w:rPr>
        <w:t xml:space="preserve">štaj o </w:t>
      </w:r>
      <w:proofErr w:type="gramStart"/>
      <w:r>
        <w:rPr>
          <w:lang w:val="sr-Latn-CS"/>
        </w:rPr>
        <w:t xml:space="preserve">sprovođenju  </w:t>
      </w:r>
      <w:proofErr w:type="spellStart"/>
      <w:r>
        <w:t>Nacionalne</w:t>
      </w:r>
      <w:proofErr w:type="spellEnd"/>
      <w:proofErr w:type="gramEnd"/>
      <w:r>
        <w:t xml:space="preserve"> </w:t>
      </w:r>
      <w:proofErr w:type="spellStart"/>
      <w:r>
        <w:t>strategije</w:t>
      </w:r>
      <w:proofErr w:type="spellEnd"/>
      <w:r>
        <w:t xml:space="preserve"> </w:t>
      </w:r>
      <w:proofErr w:type="spellStart"/>
      <w:r>
        <w:t>za</w:t>
      </w:r>
      <w:proofErr w:type="spellEnd"/>
      <w:r>
        <w:t xml:space="preserve"> </w:t>
      </w:r>
      <w:proofErr w:type="spellStart"/>
      <w:r>
        <w:t>borbu</w:t>
      </w:r>
      <w:proofErr w:type="spellEnd"/>
      <w:r>
        <w:t xml:space="preserve"> </w:t>
      </w:r>
      <w:proofErr w:type="spellStart"/>
      <w:r>
        <w:t>protiv</w:t>
      </w:r>
      <w:proofErr w:type="spellEnd"/>
      <w:r>
        <w:t xml:space="preserve"> </w:t>
      </w:r>
      <w:proofErr w:type="spellStart"/>
      <w:r>
        <w:t>korupcije</w:t>
      </w:r>
      <w:proofErr w:type="spellEnd"/>
      <w:r>
        <w:t xml:space="preserve"> </w:t>
      </w:r>
      <w:proofErr w:type="spellStart"/>
      <w:r>
        <w:t>i</w:t>
      </w:r>
      <w:proofErr w:type="spellEnd"/>
      <w:r>
        <w:t xml:space="preserve"> </w:t>
      </w:r>
      <w:proofErr w:type="spellStart"/>
      <w:r>
        <w:t>Akcionog</w:t>
      </w:r>
      <w:proofErr w:type="spellEnd"/>
      <w:r>
        <w:t xml:space="preserve"> </w:t>
      </w:r>
      <w:proofErr w:type="spellStart"/>
      <w:r>
        <w:t>plana</w:t>
      </w:r>
      <w:proofErr w:type="spellEnd"/>
      <w:r>
        <w:t xml:space="preserve"> </w:t>
      </w:r>
      <w:proofErr w:type="spellStart"/>
      <w:r>
        <w:t>za</w:t>
      </w:r>
      <w:proofErr w:type="spellEnd"/>
      <w:r>
        <w:t xml:space="preserve"> </w:t>
      </w:r>
      <w:proofErr w:type="spellStart"/>
      <w:r>
        <w:t>primenu</w:t>
      </w:r>
      <w:proofErr w:type="spellEnd"/>
      <w:r>
        <w:t xml:space="preserve"> </w:t>
      </w:r>
      <w:proofErr w:type="spellStart"/>
      <w:r>
        <w:t>Nacionalne</w:t>
      </w:r>
      <w:proofErr w:type="spellEnd"/>
      <w:r>
        <w:t xml:space="preserve"> </w:t>
      </w:r>
      <w:proofErr w:type="spellStart"/>
      <w:r>
        <w:t>strategije</w:t>
      </w:r>
      <w:proofErr w:type="spellEnd"/>
      <w:r>
        <w:t xml:space="preserve"> </w:t>
      </w:r>
      <w:proofErr w:type="spellStart"/>
      <w:r>
        <w:t>za</w:t>
      </w:r>
      <w:proofErr w:type="spellEnd"/>
      <w:r>
        <w:t xml:space="preserve"> </w:t>
      </w:r>
      <w:proofErr w:type="spellStart"/>
      <w:r>
        <w:t>borbu</w:t>
      </w:r>
      <w:proofErr w:type="spellEnd"/>
      <w:r>
        <w:t xml:space="preserve"> </w:t>
      </w:r>
      <w:proofErr w:type="spellStart"/>
      <w:r>
        <w:t>protiv</w:t>
      </w:r>
      <w:proofErr w:type="spellEnd"/>
      <w:r>
        <w:t xml:space="preserve"> </w:t>
      </w:r>
      <w:proofErr w:type="spellStart"/>
      <w:r>
        <w:t>korupcije</w:t>
      </w:r>
      <w:proofErr w:type="spellEnd"/>
    </w:p>
    <w:p w:rsidR="00186212" w:rsidRDefault="001C0509" w:rsidP="00186212">
      <w:pPr>
        <w:spacing w:line="240" w:lineRule="auto"/>
        <w:jc w:val="left"/>
        <w:rPr>
          <w:rFonts w:ascii="Arial" w:eastAsia="Times New Roman" w:hAnsi="Arial" w:cs="Arial"/>
          <w:sz w:val="20"/>
          <w:szCs w:val="20"/>
        </w:rPr>
      </w:pPr>
      <w:r>
        <w:t xml:space="preserve"> </w:t>
      </w:r>
      <w:hyperlink r:id="rId10" w:history="1">
        <w:r>
          <w:rPr>
            <w:rStyle w:val="Hyperlink"/>
          </w:rPr>
          <w:t>http://www.acas.rs/images/stories/Aneks_1_-_Izvestaj_o_sprovodjenju_Strategije_i_Akcionog_plana-Spojen_sa_naslovnom.pdf</w:t>
        </w:r>
      </w:hyperlink>
    </w:p>
    <w:p w:rsidR="001C0509" w:rsidRDefault="001C0509" w:rsidP="00186212">
      <w:pPr>
        <w:spacing w:line="240" w:lineRule="auto"/>
        <w:jc w:val="left"/>
        <w:rPr>
          <w:rFonts w:ascii="Arial" w:eastAsia="Times New Roman" w:hAnsi="Arial" w:cs="Arial"/>
          <w:sz w:val="20"/>
          <w:szCs w:val="20"/>
        </w:rPr>
      </w:pPr>
    </w:p>
    <w:p w:rsidR="001C0509" w:rsidRDefault="001C0509" w:rsidP="00186212">
      <w:pPr>
        <w:spacing w:line="240" w:lineRule="auto"/>
        <w:jc w:val="left"/>
      </w:pPr>
      <w:proofErr w:type="spellStart"/>
      <w:r>
        <w:t>Uputstvo</w:t>
      </w:r>
      <w:proofErr w:type="spellEnd"/>
      <w:r>
        <w:t xml:space="preserve"> </w:t>
      </w:r>
      <w:proofErr w:type="spellStart"/>
      <w:r>
        <w:t>za</w:t>
      </w:r>
      <w:proofErr w:type="spellEnd"/>
      <w:r>
        <w:t xml:space="preserve"> </w:t>
      </w:r>
      <w:proofErr w:type="spellStart"/>
      <w:r>
        <w:t>izradu</w:t>
      </w:r>
      <w:proofErr w:type="spellEnd"/>
      <w:r>
        <w:t xml:space="preserve"> </w:t>
      </w:r>
      <w:proofErr w:type="spellStart"/>
      <w:r>
        <w:t>i</w:t>
      </w:r>
      <w:proofErr w:type="spellEnd"/>
      <w:r>
        <w:t xml:space="preserve"> </w:t>
      </w:r>
      <w:proofErr w:type="spellStart"/>
      <w:r>
        <w:t>objavljivanje</w:t>
      </w:r>
      <w:proofErr w:type="spellEnd"/>
      <w:r>
        <w:t xml:space="preserve"> </w:t>
      </w:r>
      <w:proofErr w:type="spellStart"/>
      <w:r>
        <w:t>Informatora</w:t>
      </w:r>
      <w:proofErr w:type="spellEnd"/>
      <w:r>
        <w:t xml:space="preserve"> o </w:t>
      </w:r>
      <w:proofErr w:type="spellStart"/>
      <w:r>
        <w:t>radu</w:t>
      </w:r>
      <w:proofErr w:type="spellEnd"/>
      <w:r>
        <w:t xml:space="preserve"> </w:t>
      </w:r>
      <w:proofErr w:type="spellStart"/>
      <w:r>
        <w:t>državnog</w:t>
      </w:r>
      <w:proofErr w:type="spellEnd"/>
      <w:r>
        <w:t xml:space="preserve"> </w:t>
      </w:r>
      <w:proofErr w:type="spellStart"/>
      <w:r>
        <w:t>organa</w:t>
      </w:r>
      <w:proofErr w:type="spellEnd"/>
      <w:r>
        <w:t xml:space="preserve"> </w:t>
      </w:r>
      <w:proofErr w:type="spellStart"/>
      <w:r>
        <w:t>i</w:t>
      </w:r>
      <w:proofErr w:type="spellEnd"/>
      <w:r>
        <w:t xml:space="preserve"> </w:t>
      </w:r>
      <w:proofErr w:type="spellStart"/>
      <w:r>
        <w:t>komentar</w:t>
      </w:r>
      <w:proofErr w:type="spellEnd"/>
      <w:r>
        <w:t xml:space="preserve"> </w:t>
      </w:r>
      <w:proofErr w:type="spellStart"/>
      <w:r>
        <w:t>uputstva</w:t>
      </w:r>
      <w:proofErr w:type="spellEnd"/>
      <w:r>
        <w:t xml:space="preserve"> (Novo)</w:t>
      </w:r>
    </w:p>
    <w:p w:rsidR="001C0509" w:rsidRDefault="00426D6D" w:rsidP="00186212">
      <w:pPr>
        <w:spacing w:line="240" w:lineRule="auto"/>
        <w:jc w:val="left"/>
      </w:pPr>
      <w:hyperlink r:id="rId11" w:history="1">
        <w:r w:rsidR="001C0509">
          <w:rPr>
            <w:rStyle w:val="Hyperlink"/>
          </w:rPr>
          <w:t>http://www.poverenik.org.rs/index.php/sr/doc/podzakonski-akti/947-2010-09-22-09-11-08.pdf</w:t>
        </w:r>
      </w:hyperlink>
    </w:p>
    <w:p w:rsidR="001C0509" w:rsidRDefault="001C0509" w:rsidP="00186212">
      <w:pPr>
        <w:spacing w:line="240" w:lineRule="auto"/>
        <w:jc w:val="left"/>
      </w:pPr>
    </w:p>
    <w:p w:rsidR="001C0509" w:rsidRDefault="001C0509" w:rsidP="001C0509">
      <w:pPr>
        <w:spacing w:line="240" w:lineRule="auto"/>
        <w:jc w:val="left"/>
      </w:pPr>
      <w:proofErr w:type="spellStart"/>
      <w:r>
        <w:t>Uputstvo</w:t>
      </w:r>
      <w:proofErr w:type="spellEnd"/>
      <w:r>
        <w:t xml:space="preserve"> </w:t>
      </w:r>
      <w:proofErr w:type="spellStart"/>
      <w:r>
        <w:t>za</w:t>
      </w:r>
      <w:proofErr w:type="spellEnd"/>
      <w:r>
        <w:t xml:space="preserve"> </w:t>
      </w:r>
      <w:proofErr w:type="spellStart"/>
      <w:r>
        <w:t>izradu</w:t>
      </w:r>
      <w:proofErr w:type="spellEnd"/>
      <w:r>
        <w:t xml:space="preserve"> </w:t>
      </w:r>
      <w:proofErr w:type="spellStart"/>
      <w:r>
        <w:t>i</w:t>
      </w:r>
      <w:proofErr w:type="spellEnd"/>
      <w:r>
        <w:t xml:space="preserve"> </w:t>
      </w:r>
      <w:proofErr w:type="spellStart"/>
      <w:r>
        <w:t>objavljivanje</w:t>
      </w:r>
      <w:proofErr w:type="spellEnd"/>
      <w:r>
        <w:t xml:space="preserve"> </w:t>
      </w:r>
      <w:proofErr w:type="spellStart"/>
      <w:r>
        <w:t>Informatora</w:t>
      </w:r>
      <w:proofErr w:type="spellEnd"/>
      <w:r>
        <w:t xml:space="preserve"> o </w:t>
      </w:r>
      <w:proofErr w:type="spellStart"/>
      <w:r>
        <w:t>radu</w:t>
      </w:r>
      <w:proofErr w:type="spellEnd"/>
      <w:r>
        <w:t xml:space="preserve"> </w:t>
      </w:r>
      <w:proofErr w:type="spellStart"/>
      <w:r>
        <w:t>državnog</w:t>
      </w:r>
      <w:proofErr w:type="spellEnd"/>
      <w:r>
        <w:t xml:space="preserve"> </w:t>
      </w:r>
      <w:proofErr w:type="spellStart"/>
      <w:r>
        <w:t>organa</w:t>
      </w:r>
      <w:proofErr w:type="spellEnd"/>
      <w:r>
        <w:t xml:space="preserve"> </w:t>
      </w:r>
      <w:proofErr w:type="spellStart"/>
      <w:r>
        <w:t>i</w:t>
      </w:r>
      <w:proofErr w:type="spellEnd"/>
      <w:r>
        <w:t xml:space="preserve"> </w:t>
      </w:r>
      <w:proofErr w:type="spellStart"/>
      <w:r>
        <w:t>komentar</w:t>
      </w:r>
      <w:proofErr w:type="spellEnd"/>
      <w:r>
        <w:t xml:space="preserve"> </w:t>
      </w:r>
      <w:proofErr w:type="spellStart"/>
      <w:r>
        <w:t>uputstva</w:t>
      </w:r>
      <w:proofErr w:type="spellEnd"/>
      <w:r>
        <w:t xml:space="preserve"> (</w:t>
      </w:r>
      <w:proofErr w:type="spellStart"/>
      <w:r>
        <w:t>Staro</w:t>
      </w:r>
      <w:proofErr w:type="spellEnd"/>
      <w:r>
        <w:t>)</w:t>
      </w:r>
    </w:p>
    <w:p w:rsidR="001C0509" w:rsidRDefault="00426D6D" w:rsidP="00186212">
      <w:pPr>
        <w:spacing w:line="240" w:lineRule="auto"/>
        <w:jc w:val="left"/>
      </w:pPr>
      <w:hyperlink r:id="rId12" w:history="1">
        <w:r w:rsidR="001C0509">
          <w:rPr>
            <w:rStyle w:val="Hyperlink"/>
          </w:rPr>
          <w:t>http://www.poverenik.org.rs/index.php/sr/doc/podzakonski-akti/144-uputstvo-za-objavljivanje-informatora-o-radu-drzavnog-organa</w:t>
        </w:r>
      </w:hyperlink>
    </w:p>
    <w:p w:rsidR="001C0509" w:rsidRDefault="001C0509" w:rsidP="00186212">
      <w:pPr>
        <w:spacing w:line="240" w:lineRule="auto"/>
        <w:jc w:val="left"/>
      </w:pPr>
    </w:p>
    <w:p w:rsidR="00606259" w:rsidRDefault="001C0509" w:rsidP="00186212">
      <w:pPr>
        <w:spacing w:line="240" w:lineRule="auto"/>
        <w:jc w:val="left"/>
      </w:pPr>
      <w:proofErr w:type="spellStart"/>
      <w:proofErr w:type="gramStart"/>
      <w:r>
        <w:t>Izveštaj</w:t>
      </w:r>
      <w:proofErr w:type="spellEnd"/>
      <w:r>
        <w:t xml:space="preserve"> </w:t>
      </w:r>
      <w:proofErr w:type="spellStart"/>
      <w:r>
        <w:t>Poverenika</w:t>
      </w:r>
      <w:proofErr w:type="spellEnd"/>
      <w:r>
        <w:t xml:space="preserve"> </w:t>
      </w:r>
      <w:proofErr w:type="spellStart"/>
      <w:r w:rsidR="00606259">
        <w:t>za</w:t>
      </w:r>
      <w:proofErr w:type="spellEnd"/>
      <w:r w:rsidR="00606259">
        <w:t xml:space="preserve"> 2010.</w:t>
      </w:r>
      <w:proofErr w:type="gramEnd"/>
      <w:r w:rsidR="00606259">
        <w:t xml:space="preserve"> </w:t>
      </w:r>
      <w:proofErr w:type="spellStart"/>
      <w:proofErr w:type="gramStart"/>
      <w:r w:rsidR="00606259">
        <w:t>godinu</w:t>
      </w:r>
      <w:proofErr w:type="spellEnd"/>
      <w:proofErr w:type="gramEnd"/>
    </w:p>
    <w:p w:rsidR="001C0509" w:rsidRDefault="00426D6D" w:rsidP="00186212">
      <w:pPr>
        <w:spacing w:line="240" w:lineRule="auto"/>
        <w:jc w:val="left"/>
      </w:pPr>
      <w:hyperlink r:id="rId13" w:history="1">
        <w:r w:rsidR="001C0509">
          <w:rPr>
            <w:rStyle w:val="Hyperlink"/>
          </w:rPr>
          <w:t>http://www.poverenik.org.rs/index.php/sr/doc/izvestaji/1018-2011-03-28-09-58-59.pdf</w:t>
        </w:r>
      </w:hyperlink>
    </w:p>
    <w:p w:rsidR="00606259" w:rsidRDefault="00606259" w:rsidP="00186212">
      <w:pPr>
        <w:spacing w:line="240" w:lineRule="auto"/>
        <w:jc w:val="left"/>
      </w:pPr>
    </w:p>
    <w:p w:rsidR="00606259" w:rsidRDefault="00606259" w:rsidP="00186212">
      <w:pPr>
        <w:spacing w:line="240" w:lineRule="auto"/>
        <w:jc w:val="left"/>
      </w:pPr>
      <w:proofErr w:type="spellStart"/>
      <w:proofErr w:type="gramStart"/>
      <w:r>
        <w:t>Redovan</w:t>
      </w:r>
      <w:proofErr w:type="spellEnd"/>
      <w:r>
        <w:t xml:space="preserve"> </w:t>
      </w:r>
      <w:proofErr w:type="spellStart"/>
      <w:r>
        <w:t>godišnji</w:t>
      </w:r>
      <w:proofErr w:type="spellEnd"/>
      <w:r>
        <w:t xml:space="preserve"> </w:t>
      </w:r>
      <w:proofErr w:type="spellStart"/>
      <w:r>
        <w:t>izveštaj</w:t>
      </w:r>
      <w:proofErr w:type="spellEnd"/>
      <w:r>
        <w:t xml:space="preserve"> </w:t>
      </w:r>
      <w:proofErr w:type="spellStart"/>
      <w:r>
        <w:t>Zaštitnika</w:t>
      </w:r>
      <w:proofErr w:type="spellEnd"/>
      <w:r>
        <w:t xml:space="preserve"> </w:t>
      </w:r>
      <w:proofErr w:type="spellStart"/>
      <w:r>
        <w:t>građana</w:t>
      </w:r>
      <w:proofErr w:type="spellEnd"/>
      <w:r>
        <w:t xml:space="preserve"> </w:t>
      </w:r>
      <w:proofErr w:type="spellStart"/>
      <w:r>
        <w:t>za</w:t>
      </w:r>
      <w:proofErr w:type="spellEnd"/>
      <w:r>
        <w:t xml:space="preserve"> 2010.</w:t>
      </w:r>
      <w:proofErr w:type="gramEnd"/>
      <w:r>
        <w:t xml:space="preserve"> </w:t>
      </w:r>
      <w:proofErr w:type="spellStart"/>
      <w:proofErr w:type="gramStart"/>
      <w:r>
        <w:t>godinu</w:t>
      </w:r>
      <w:proofErr w:type="spellEnd"/>
      <w:proofErr w:type="gramEnd"/>
    </w:p>
    <w:p w:rsidR="00606259" w:rsidRDefault="00426D6D" w:rsidP="00186212">
      <w:pPr>
        <w:spacing w:line="240" w:lineRule="auto"/>
        <w:jc w:val="left"/>
      </w:pPr>
      <w:hyperlink r:id="rId14" w:history="1">
        <w:r w:rsidR="00606259">
          <w:rPr>
            <w:rStyle w:val="Hyperlink"/>
          </w:rPr>
          <w:t>http://www.ombudsman.rs/attachments/1306_Redovan%20godisnji%20izvestaj%20za%202010.pdf</w:t>
        </w:r>
      </w:hyperlink>
    </w:p>
    <w:p w:rsidR="00606259" w:rsidRDefault="00606259" w:rsidP="00186212">
      <w:pPr>
        <w:spacing w:line="240" w:lineRule="auto"/>
        <w:jc w:val="left"/>
      </w:pPr>
    </w:p>
    <w:p w:rsidR="00606259" w:rsidRDefault="00606259" w:rsidP="00186212">
      <w:pPr>
        <w:spacing w:line="240" w:lineRule="auto"/>
        <w:jc w:val="left"/>
      </w:pPr>
      <w:proofErr w:type="spellStart"/>
      <w:r>
        <w:t>Zakon</w:t>
      </w:r>
      <w:proofErr w:type="spellEnd"/>
      <w:r>
        <w:t xml:space="preserve"> o </w:t>
      </w:r>
      <w:proofErr w:type="spellStart"/>
      <w:r>
        <w:t>izmeni</w:t>
      </w:r>
      <w:proofErr w:type="spellEnd"/>
      <w:r>
        <w:t xml:space="preserve"> </w:t>
      </w:r>
      <w:proofErr w:type="spellStart"/>
      <w:r>
        <w:t>i</w:t>
      </w:r>
      <w:proofErr w:type="spellEnd"/>
      <w:r>
        <w:t xml:space="preserve"> </w:t>
      </w:r>
      <w:proofErr w:type="spellStart"/>
      <w:r>
        <w:t>dopuni</w:t>
      </w:r>
      <w:proofErr w:type="spellEnd"/>
      <w:r>
        <w:t xml:space="preserve"> </w:t>
      </w:r>
      <w:proofErr w:type="spellStart"/>
      <w:r>
        <w:t>zakona</w:t>
      </w:r>
      <w:proofErr w:type="spellEnd"/>
      <w:r>
        <w:t xml:space="preserve"> o </w:t>
      </w:r>
      <w:proofErr w:type="spellStart"/>
      <w:r>
        <w:t>državnoj</w:t>
      </w:r>
      <w:proofErr w:type="spellEnd"/>
      <w:r>
        <w:t xml:space="preserve"> upravi</w:t>
      </w:r>
    </w:p>
    <w:p w:rsidR="00606259" w:rsidRDefault="00426D6D" w:rsidP="00186212">
      <w:pPr>
        <w:spacing w:line="240" w:lineRule="auto"/>
        <w:jc w:val="left"/>
      </w:pPr>
      <w:hyperlink r:id="rId15" w:history="1">
        <w:r w:rsidR="00606259">
          <w:rPr>
            <w:rStyle w:val="Hyperlink"/>
          </w:rPr>
          <w:t>http://www.parlament.gov.rs/content/lat/akta/akta_detalji.asp?Id=1001&amp;t=Z</w:t>
        </w:r>
      </w:hyperlink>
    </w:p>
    <w:p w:rsidR="00606259" w:rsidRDefault="00606259" w:rsidP="00186212">
      <w:pPr>
        <w:spacing w:line="240" w:lineRule="auto"/>
        <w:jc w:val="left"/>
      </w:pPr>
    </w:p>
    <w:p w:rsidR="00606259" w:rsidRPr="00186212" w:rsidRDefault="00606259" w:rsidP="00186212">
      <w:pPr>
        <w:spacing w:line="240" w:lineRule="auto"/>
        <w:jc w:val="left"/>
        <w:rPr>
          <w:rFonts w:ascii="Arial" w:eastAsia="Times New Roman" w:hAnsi="Arial" w:cs="Arial"/>
          <w:sz w:val="20"/>
          <w:szCs w:val="20"/>
        </w:rPr>
      </w:pPr>
      <w:proofErr w:type="spellStart"/>
      <w:r>
        <w:t>Konferencija</w:t>
      </w:r>
      <w:proofErr w:type="spellEnd"/>
      <w:r>
        <w:t xml:space="preserve"> </w:t>
      </w:r>
      <w:proofErr w:type="spellStart"/>
      <w:r>
        <w:t>Transparentnosti</w:t>
      </w:r>
      <w:proofErr w:type="spellEnd"/>
      <w:r>
        <w:t xml:space="preserve"> </w:t>
      </w:r>
      <w:proofErr w:type="spellStart"/>
      <w:r>
        <w:t>Srbija</w:t>
      </w:r>
      <w:proofErr w:type="spellEnd"/>
      <w:r>
        <w:t xml:space="preserve"> </w:t>
      </w:r>
      <w:hyperlink r:id="rId16" w:history="1">
        <w:r>
          <w:rPr>
            <w:rStyle w:val="Hyperlink"/>
          </w:rPr>
          <w:t>http://transparentnost.org.rs/index.php?view=details&amp;id=407%3Akonferencija-za-tampu&amp;option=com_eventlist&amp;Itemid=25&amp;lang=sr</w:t>
        </w:r>
      </w:hyperlink>
    </w:p>
    <w:p w:rsidR="00B64A94" w:rsidRDefault="00B64A94"/>
    <w:p w:rsidR="00EA1E3D" w:rsidRPr="00EA1E3D" w:rsidRDefault="00EA1E3D" w:rsidP="00EA1E3D">
      <w:pPr>
        <w:pStyle w:val="tekst"/>
        <w:spacing w:before="115" w:beforeAutospacing="0" w:after="115" w:afterAutospacing="0" w:line="184" w:lineRule="atLeast"/>
        <w:jc w:val="center"/>
        <w:rPr>
          <w:rFonts w:asciiTheme="minorHAnsi" w:hAnsiTheme="minorHAnsi" w:cs="Tahoma"/>
          <w:sz w:val="22"/>
          <w:szCs w:val="22"/>
        </w:rPr>
      </w:pPr>
      <w:proofErr w:type="spellStart"/>
      <w:r w:rsidRPr="00EA1E3D">
        <w:rPr>
          <w:rFonts w:asciiTheme="minorHAnsi" w:hAnsiTheme="minorHAnsi" w:cs="Tahoma"/>
          <w:sz w:val="22"/>
          <w:szCs w:val="22"/>
        </w:rPr>
        <w:t>Projekat</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finansira</w:t>
      </w:r>
      <w:proofErr w:type="spellEnd"/>
      <w:r w:rsidRPr="00EA1E3D">
        <w:rPr>
          <w:rFonts w:asciiTheme="minorHAnsi" w:hAnsiTheme="minorHAnsi" w:cs="Tahoma"/>
          <w:sz w:val="22"/>
          <w:szCs w:val="22"/>
        </w:rPr>
        <w:t xml:space="preserve"> Foreign and Commonwealth Office</w:t>
      </w:r>
    </w:p>
    <w:p w:rsidR="00EA1E3D" w:rsidRDefault="00EA1E3D" w:rsidP="00EA1E3D">
      <w:pPr>
        <w:pStyle w:val="tekst"/>
        <w:spacing w:before="115" w:beforeAutospacing="0" w:after="115" w:afterAutospacing="0" w:line="184" w:lineRule="atLeast"/>
        <w:jc w:val="center"/>
        <w:rPr>
          <w:rFonts w:ascii="Tahoma" w:hAnsi="Tahoma" w:cs="Tahoma"/>
          <w:color w:val="666666"/>
          <w:sz w:val="13"/>
          <w:szCs w:val="13"/>
        </w:rPr>
      </w:pPr>
      <w:r>
        <w:rPr>
          <w:noProof/>
        </w:rPr>
        <w:lastRenderedPageBreak/>
        <w:drawing>
          <wp:inline distT="0" distB="0" distL="0" distR="0">
            <wp:extent cx="1331595" cy="3811270"/>
            <wp:effectExtent l="19050" t="0" r="1905" b="0"/>
            <wp:docPr id="4" name="Picture 4" descr="Foreign &amp; Commonwealt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eign &amp; Commonwealth Office"/>
                    <pic:cNvPicPr>
                      <a:picLocks noChangeAspect="1" noChangeArrowheads="1"/>
                    </pic:cNvPicPr>
                  </pic:nvPicPr>
                  <pic:blipFill>
                    <a:blip r:embed="rId7"/>
                    <a:srcRect/>
                    <a:stretch>
                      <a:fillRect/>
                    </a:stretch>
                  </pic:blipFill>
                  <pic:spPr bwMode="auto">
                    <a:xfrm>
                      <a:off x="0" y="0"/>
                      <a:ext cx="1331595" cy="3811270"/>
                    </a:xfrm>
                    <a:prstGeom prst="rect">
                      <a:avLst/>
                    </a:prstGeom>
                    <a:noFill/>
                    <a:ln w="9525">
                      <a:noFill/>
                      <a:miter lim="800000"/>
                      <a:headEnd/>
                      <a:tailEnd/>
                    </a:ln>
                  </pic:spPr>
                </pic:pic>
              </a:graphicData>
            </a:graphic>
          </wp:inline>
        </w:drawing>
      </w:r>
    </w:p>
    <w:p w:rsidR="00EA1E3D" w:rsidRPr="00EA1E3D" w:rsidRDefault="00EA1E3D" w:rsidP="00EA1E3D">
      <w:pPr>
        <w:pStyle w:val="tekst"/>
        <w:spacing w:before="115" w:beforeAutospacing="0" w:after="115" w:afterAutospacing="0" w:line="184" w:lineRule="atLeast"/>
        <w:jc w:val="both"/>
        <w:rPr>
          <w:rFonts w:asciiTheme="minorHAnsi" w:hAnsiTheme="minorHAnsi" w:cs="Tahoma"/>
          <w:sz w:val="22"/>
          <w:szCs w:val="22"/>
        </w:rPr>
      </w:pPr>
      <w:proofErr w:type="spellStart"/>
      <w:proofErr w:type="gramStart"/>
      <w:r w:rsidRPr="00EA1E3D">
        <w:rPr>
          <w:rFonts w:asciiTheme="minorHAnsi" w:hAnsiTheme="minorHAnsi" w:cs="Tahoma"/>
          <w:sz w:val="22"/>
          <w:szCs w:val="22"/>
        </w:rPr>
        <w:t>Izloženi</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stavovi</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pripadaju</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autorima</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i</w:t>
      </w:r>
      <w:proofErr w:type="spellEnd"/>
      <w:r w:rsidRPr="00EA1E3D">
        <w:rPr>
          <w:rFonts w:asciiTheme="minorHAnsi" w:hAnsiTheme="minorHAnsi" w:cs="Tahoma"/>
          <w:sz w:val="22"/>
          <w:szCs w:val="22"/>
        </w:rPr>
        <w:t xml:space="preserve"> ne </w:t>
      </w:r>
      <w:proofErr w:type="spellStart"/>
      <w:r w:rsidRPr="00EA1E3D">
        <w:rPr>
          <w:rFonts w:asciiTheme="minorHAnsi" w:hAnsiTheme="minorHAnsi" w:cs="Tahoma"/>
          <w:sz w:val="22"/>
          <w:szCs w:val="22"/>
        </w:rPr>
        <w:t>moraju</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nužno</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predstavljati</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stavove</w:t>
      </w:r>
      <w:proofErr w:type="spellEnd"/>
      <w:r w:rsidRPr="00EA1E3D">
        <w:rPr>
          <w:rFonts w:asciiTheme="minorHAnsi" w:hAnsiTheme="minorHAnsi" w:cs="Tahoma"/>
          <w:sz w:val="22"/>
          <w:szCs w:val="22"/>
        </w:rPr>
        <w:t xml:space="preserve"> </w:t>
      </w:r>
      <w:proofErr w:type="spellStart"/>
      <w:r w:rsidRPr="00EA1E3D">
        <w:rPr>
          <w:rFonts w:asciiTheme="minorHAnsi" w:hAnsiTheme="minorHAnsi" w:cs="Tahoma"/>
          <w:sz w:val="22"/>
          <w:szCs w:val="22"/>
        </w:rPr>
        <w:t>donatora</w:t>
      </w:r>
      <w:proofErr w:type="spellEnd"/>
      <w:r w:rsidRPr="00EA1E3D">
        <w:rPr>
          <w:rFonts w:asciiTheme="minorHAnsi" w:hAnsiTheme="minorHAnsi" w:cs="Tahoma"/>
          <w:sz w:val="22"/>
          <w:szCs w:val="22"/>
        </w:rPr>
        <w:t>.</w:t>
      </w:r>
      <w:proofErr w:type="gramEnd"/>
    </w:p>
    <w:p w:rsidR="00EA1E3D" w:rsidRPr="00EA1E3D" w:rsidRDefault="00EA1E3D" w:rsidP="00EA1E3D">
      <w:pPr>
        <w:pStyle w:val="NormalWeb"/>
        <w:spacing w:before="115" w:beforeAutospacing="0" w:after="115" w:afterAutospacing="0" w:line="184" w:lineRule="atLeast"/>
        <w:jc w:val="both"/>
        <w:rPr>
          <w:rFonts w:asciiTheme="minorHAnsi" w:hAnsiTheme="minorHAnsi" w:cs="Tahoma"/>
          <w:sz w:val="22"/>
          <w:szCs w:val="22"/>
        </w:rPr>
      </w:pPr>
      <w:r w:rsidRPr="00EA1E3D">
        <w:rPr>
          <w:rFonts w:asciiTheme="minorHAnsi" w:hAnsiTheme="minorHAnsi" w:cs="Tahoma"/>
          <w:sz w:val="22"/>
          <w:szCs w:val="22"/>
        </w:rPr>
        <w:t> </w:t>
      </w:r>
    </w:p>
    <w:p w:rsidR="00EA1E3D" w:rsidRPr="00541D53" w:rsidRDefault="00EA1E3D"/>
    <w:sectPr w:rsidR="00EA1E3D" w:rsidRPr="00541D53" w:rsidSect="00B64A94">
      <w:pgSz w:w="12240" w:h="15840"/>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86212"/>
    <w:rsid w:val="00186212"/>
    <w:rsid w:val="001C0509"/>
    <w:rsid w:val="00426D6D"/>
    <w:rsid w:val="00541D53"/>
    <w:rsid w:val="00606259"/>
    <w:rsid w:val="00740763"/>
    <w:rsid w:val="007D22BC"/>
    <w:rsid w:val="00820E0F"/>
    <w:rsid w:val="00B64A94"/>
    <w:rsid w:val="00CE6FFC"/>
    <w:rsid w:val="00D57E03"/>
    <w:rsid w:val="00D75664"/>
    <w:rsid w:val="00EA1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509"/>
    <w:rPr>
      <w:color w:val="0000FF"/>
      <w:u w:val="single"/>
    </w:rPr>
  </w:style>
  <w:style w:type="paragraph" w:customStyle="1" w:styleId="tekst">
    <w:name w:val="tekst"/>
    <w:basedOn w:val="Normal"/>
    <w:rsid w:val="00EA1E3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1E3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1E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E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348081">
      <w:bodyDiv w:val="1"/>
      <w:marLeft w:val="0"/>
      <w:marRight w:val="0"/>
      <w:marTop w:val="0"/>
      <w:marBottom w:val="0"/>
      <w:divBdr>
        <w:top w:val="none" w:sz="0" w:space="0" w:color="auto"/>
        <w:left w:val="none" w:sz="0" w:space="0" w:color="auto"/>
        <w:bottom w:val="none" w:sz="0" w:space="0" w:color="auto"/>
        <w:right w:val="none" w:sz="0" w:space="0" w:color="auto"/>
      </w:divBdr>
    </w:div>
    <w:div w:id="1544052764">
      <w:bodyDiv w:val="1"/>
      <w:marLeft w:val="0"/>
      <w:marRight w:val="0"/>
      <w:marTop w:val="0"/>
      <w:marBottom w:val="0"/>
      <w:divBdr>
        <w:top w:val="none" w:sz="0" w:space="0" w:color="auto"/>
        <w:left w:val="none" w:sz="0" w:space="0" w:color="auto"/>
        <w:bottom w:val="none" w:sz="0" w:space="0" w:color="auto"/>
        <w:right w:val="none" w:sz="0" w:space="0" w:color="auto"/>
      </w:divBdr>
    </w:div>
    <w:div w:id="16787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rs/images/stories/Nacionalna_strategija.pdf" TargetMode="External"/><Relationship Id="rId13" Type="http://schemas.openxmlformats.org/officeDocument/2006/relationships/hyperlink" Target="http://www.poverenik.org.rs/index.php/sr/doc/izvestaji/1018-2011-03-28-09-58-5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poverenik.org.rs/index.php/sr/doc/podzakonski-akti/144-uputstvo-za-objavljivanje-informatora-o-radu-drzavnog-orga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parentnost.org.rs/index.php?view=details&amp;id=407%3Akonferencija-za-tampu&amp;option=com_eventlist&amp;Itemid=25&amp;lang=sr" TargetMode="External"/><Relationship Id="rId1" Type="http://schemas.openxmlformats.org/officeDocument/2006/relationships/customXml" Target="../customXml/item1.xml"/><Relationship Id="rId6" Type="http://schemas.openxmlformats.org/officeDocument/2006/relationships/hyperlink" Target="http://www.poverenik.org.rs/index.php/en/doc/bylaws-documents-/947-2010-09-22-09-11-08.pdf" TargetMode="External"/><Relationship Id="rId11" Type="http://schemas.openxmlformats.org/officeDocument/2006/relationships/hyperlink" Target="http://www.poverenik.org.rs/index.php/sr/doc/podzakonski-akti/947-2010-09-22-09-11-08.pdf" TargetMode="External"/><Relationship Id="rId5" Type="http://schemas.openxmlformats.org/officeDocument/2006/relationships/hyperlink" Target="http://www.mpravde.gov.rs/en/articles/fight-against-corruption/national-strategy-against-corruption/" TargetMode="External"/><Relationship Id="rId15" Type="http://schemas.openxmlformats.org/officeDocument/2006/relationships/hyperlink" Target="http://www.parlament.gov.rs/content/lat/akta/akta_detalji.asp?Id=1001&amp;t=Z" TargetMode="External"/><Relationship Id="rId10" Type="http://schemas.openxmlformats.org/officeDocument/2006/relationships/hyperlink" Target="http://www.acas.rs/images/stories/Aneks_1_-_Izvestaj_o_sprovodjenju_Strategije_i_Akcionog_plana-Spojen_sa_naslovnom.pdf" TargetMode="External"/><Relationship Id="rId4" Type="http://schemas.openxmlformats.org/officeDocument/2006/relationships/webSettings" Target="webSettings.xml"/><Relationship Id="rId9" Type="http://schemas.openxmlformats.org/officeDocument/2006/relationships/hyperlink" Target="http://www.acas.rs/sr_cir/zakoni-i-drugi-propisi/akcioni-plan.html" TargetMode="External"/><Relationship Id="rId14" Type="http://schemas.openxmlformats.org/officeDocument/2006/relationships/hyperlink" Target="http://www.ombudsman.rs/attachments/1306_Redovan%20godisnji%20izvestaj%20za%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E50D-CB27-4F55-89EC-09A77B60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dc:creator>
  <cp:keywords/>
  <dc:description/>
  <cp:lastModifiedBy>x4</cp:lastModifiedBy>
  <cp:revision>3</cp:revision>
  <dcterms:created xsi:type="dcterms:W3CDTF">2011-03-29T12:58:00Z</dcterms:created>
  <dcterms:modified xsi:type="dcterms:W3CDTF">2011-03-29T14:19:00Z</dcterms:modified>
</cp:coreProperties>
</file>